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22" w:rsidRDefault="00734C22" w:rsidP="00A352C3">
      <w:pPr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F10C71">
        <w:rPr>
          <w:rFonts w:ascii="华文中宋" w:eastAsia="华文中宋" w:hAnsi="华文中宋" w:cs="华文中宋" w:hint="eastAsia"/>
          <w:color w:val="000000"/>
          <w:sz w:val="44"/>
          <w:szCs w:val="44"/>
        </w:rPr>
        <w:t>职权运行流程表</w:t>
      </w: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694"/>
        <w:gridCol w:w="1433"/>
        <w:gridCol w:w="5555"/>
      </w:tblGrid>
      <w:tr w:rsidR="00734C22" w:rsidRPr="003C0056" w:rsidTr="009017FF">
        <w:trPr>
          <w:trHeight w:val="568"/>
          <w:jc w:val="center"/>
        </w:trPr>
        <w:tc>
          <w:tcPr>
            <w:tcW w:w="959" w:type="dxa"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  <w:br w:type="page"/>
            </w:r>
            <w:r w:rsidRPr="003C0056"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  <w:br w:type="page"/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94" w:type="dxa"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6988" w:type="dxa"/>
            <w:gridSpan w:val="2"/>
            <w:vAlign w:val="center"/>
          </w:tcPr>
          <w:p w:rsidR="00734C22" w:rsidRPr="003C0056" w:rsidRDefault="00F71888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博士研究生招生组织权</w:t>
            </w:r>
          </w:p>
        </w:tc>
      </w:tr>
      <w:tr w:rsidR="00734C22" w:rsidRPr="003C0056" w:rsidTr="009017FF">
        <w:trPr>
          <w:trHeight w:val="1018"/>
          <w:jc w:val="center"/>
        </w:trPr>
        <w:tc>
          <w:tcPr>
            <w:tcW w:w="959" w:type="dxa"/>
            <w:vMerge w:val="restart"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Times New Roman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6988" w:type="dxa"/>
            <w:gridSpan w:val="2"/>
            <w:vAlign w:val="center"/>
          </w:tcPr>
          <w:p w:rsidR="00734C22" w:rsidRPr="003C0056" w:rsidRDefault="002B2E6B" w:rsidP="00BC1E66">
            <w:pPr>
              <w:adjustRightInd w:val="0"/>
              <w:snapToGrid w:val="0"/>
              <w:spacing w:beforeLines="20" w:line="360" w:lineRule="exact"/>
              <w:jc w:val="left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对博士招生计划分配、资格审核、综合考核、录取等环节进行组织、审核和监督，并将指标分配、分数线和录取等各阶段初审结果提请招生工作领导小组核准。</w:t>
            </w:r>
          </w:p>
        </w:tc>
      </w:tr>
      <w:tr w:rsidR="00734C22" w:rsidRPr="003C0056" w:rsidTr="009017FF">
        <w:trPr>
          <w:trHeight w:val="560"/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Times New Roman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各院（系）</w:t>
            </w:r>
          </w:p>
        </w:tc>
      </w:tr>
      <w:tr w:rsidR="00734C22" w:rsidRPr="003C0056" w:rsidTr="009017FF">
        <w:trPr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2B2E6B" w:rsidRPr="003C0056" w:rsidRDefault="002B2E6B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1．《博士招生简章》（以当年发布为准）</w:t>
            </w:r>
          </w:p>
          <w:p w:rsidR="002B2E6B" w:rsidRPr="003C0056" w:rsidRDefault="002B2E6B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2．《教育部、国家发展改革委关于下达全国研究生招生计划的通知》（以当年发布为准）</w:t>
            </w:r>
          </w:p>
          <w:p w:rsidR="002B2E6B" w:rsidRPr="003C0056" w:rsidRDefault="002B2E6B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3．《哈尔滨工业大学研究生招生考试管理规定》</w:t>
            </w:r>
          </w:p>
          <w:p w:rsidR="002B2E6B" w:rsidRPr="003C0056" w:rsidRDefault="002B2E6B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4．《博士生申请考核制工作办法》（以当年发布为准）</w:t>
            </w:r>
          </w:p>
          <w:p w:rsidR="00734C22" w:rsidRPr="003C0056" w:rsidRDefault="002B2E6B" w:rsidP="009B683C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5．《推荐攻博和硕博连读工作办法》（以当年发布为准）</w:t>
            </w:r>
          </w:p>
        </w:tc>
      </w:tr>
      <w:tr w:rsidR="00734C22" w:rsidRPr="003C0056" w:rsidTr="009017FF">
        <w:trPr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962A6E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招生计划分配：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1.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各院（系）根据往年招生情况上报计划额度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2.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研究生院根据国家下发的总计划，依据学校分配标准确定各院（系）招生计划</w:t>
            </w:r>
          </w:p>
          <w:p w:rsidR="00F71888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博士研究生招生：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1.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根据学校文件要求制定本单位工作办法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2.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组织专家对考生申请材料进行审核，确定进入考核人员名单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3.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各院（系）组织导师考核和综合考核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4.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根据招生计划和考核结果，确定拟录取名单</w:t>
            </w:r>
          </w:p>
        </w:tc>
      </w:tr>
      <w:tr w:rsidR="00734C22" w:rsidRPr="003C0056" w:rsidTr="009017FF">
        <w:trPr>
          <w:trHeight w:val="1490"/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F71888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1.招生计划分配</w:t>
            </w:r>
            <w:r w:rsidR="00F71888"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按当年国家教育部公布的招生考试进程表及学校相关工作办法进行</w:t>
            </w:r>
          </w:p>
          <w:p w:rsidR="00734C22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2.博士研究生招生</w:t>
            </w:r>
            <w:r w:rsidR="00734C22"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按当年国家教育部公布的招生考试进程表及学校相关工作办法进行</w:t>
            </w:r>
          </w:p>
        </w:tc>
      </w:tr>
      <w:tr w:rsidR="00734C22" w:rsidRPr="003C0056" w:rsidTr="009017FF">
        <w:trPr>
          <w:trHeight w:val="611"/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学校和各院（系）分别成立督导机构，全程监督研究生招生录取过程，严格执行公示制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lastRenderedPageBreak/>
              <w:t>度。</w:t>
            </w:r>
          </w:p>
        </w:tc>
      </w:tr>
      <w:tr w:rsidR="00734C22" w:rsidRPr="003C0056" w:rsidTr="009017FF">
        <w:trPr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F71888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招生计划分配所需材料：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 xml:space="preserve">1. 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各院（系）上报计划额度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 xml:space="preserve">2. 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各院（系）导师人数、历年招生数据等</w:t>
            </w:r>
          </w:p>
          <w:p w:rsidR="00F71888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博士研究生招生所需材料：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1.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考生报名各项材料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2.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导师考核和推荐意见表</w:t>
            </w: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 xml:space="preserve"> 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4.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博士研究生院（系）综合考核成绩及排序汇总表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5.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博士研究生录取名单汇总表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6.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博士研究生入学协议</w:t>
            </w:r>
          </w:p>
        </w:tc>
      </w:tr>
      <w:tr w:rsidR="00734C22" w:rsidRPr="003C0056" w:rsidTr="009017FF">
        <w:trPr>
          <w:trHeight w:val="557"/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Times New Roman" w:hint="eastAsia"/>
                <w:color w:val="000000"/>
                <w:sz w:val="28"/>
                <w:szCs w:val="28"/>
              </w:rPr>
              <w:t>权力运行内部流程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进行招生计划分配和博士招生录取</w:t>
            </w:r>
          </w:p>
        </w:tc>
      </w:tr>
      <w:tr w:rsidR="00734C22" w:rsidRPr="003C0056" w:rsidTr="009017FF">
        <w:trPr>
          <w:trHeight w:val="565"/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研究生院</w:t>
            </w:r>
            <w:r w:rsidR="00962A6E"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、研究生招生工作领导小组</w:t>
            </w:r>
          </w:p>
        </w:tc>
      </w:tr>
      <w:tr w:rsidR="00734C22" w:rsidRPr="003C0056" w:rsidTr="009017FF">
        <w:trPr>
          <w:jc w:val="center"/>
        </w:trPr>
        <w:tc>
          <w:tcPr>
            <w:tcW w:w="959" w:type="dxa"/>
            <w:vMerge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734C22" w:rsidRPr="003C0056" w:rsidRDefault="00734C22" w:rsidP="009B683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5555" w:type="dxa"/>
            <w:tcBorders>
              <w:left w:val="single" w:sz="4" w:space="0" w:color="auto"/>
            </w:tcBorders>
            <w:vAlign w:val="center"/>
          </w:tcPr>
          <w:p w:rsidR="00F71888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招生计划分配办理事项：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1.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国家下达实际招生计划额度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2.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各院（系）上报本年度拟招生计划</w:t>
            </w:r>
          </w:p>
          <w:p w:rsidR="00F71888" w:rsidRPr="003C0056" w:rsidRDefault="00F71888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3.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研究生院根</w:t>
            </w:r>
            <w:bookmarkStart w:id="0" w:name="_GoBack"/>
            <w:bookmarkEnd w:id="0"/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据分配标准确定招生计划，经研究生招生小组讨论确定后下发</w:t>
            </w:r>
          </w:p>
          <w:p w:rsidR="00F71888" w:rsidRPr="003C0056" w:rsidRDefault="00962A6E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博士研究生招生办理事项：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1.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发布招生简章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2.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分配和调节招生计划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3.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审核各院（系）工作办法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4.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组织外语水平考核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5.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审核各院</w:t>
            </w: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(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系</w:t>
            </w: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)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上报的拟录取名单</w:t>
            </w: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 xml:space="preserve"> 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6.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向上级主管部门上报拟录取名单</w:t>
            </w:r>
          </w:p>
          <w:p w:rsidR="00734C22" w:rsidRPr="003C0056" w:rsidRDefault="00734C22" w:rsidP="00BC1E66">
            <w:pPr>
              <w:adjustRightInd w:val="0"/>
              <w:snapToGrid w:val="0"/>
              <w:spacing w:beforeLines="20" w:line="360" w:lineRule="exact"/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</w:pPr>
            <w:r w:rsidRPr="003C0056">
              <w:rPr>
                <w:rFonts w:asciiTheme="minorEastAsia" w:eastAsiaTheme="minorEastAsia" w:hAnsiTheme="minorEastAsia" w:cs="仿宋_GB2312"/>
                <w:color w:val="000000"/>
                <w:sz w:val="28"/>
                <w:szCs w:val="28"/>
              </w:rPr>
              <w:t>7.</w:t>
            </w:r>
            <w:r w:rsidRPr="003C0056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发放录取通知书</w:t>
            </w:r>
          </w:p>
        </w:tc>
      </w:tr>
    </w:tbl>
    <w:p w:rsidR="00734C22" w:rsidRPr="000A5E5B" w:rsidRDefault="00734C22" w:rsidP="009B683C">
      <w:pPr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sectPr w:rsidR="00734C22" w:rsidRPr="000A5E5B" w:rsidSect="00A5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3E2" w:rsidRDefault="004103E2" w:rsidP="00F10C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03E2" w:rsidRDefault="004103E2" w:rsidP="00F10C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3E2" w:rsidRDefault="004103E2" w:rsidP="00F10C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03E2" w:rsidRDefault="004103E2" w:rsidP="00F10C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848"/>
    <w:multiLevelType w:val="hybridMultilevel"/>
    <w:tmpl w:val="2056CC70"/>
    <w:lvl w:ilvl="0" w:tplc="F0B262C8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Ansi="宋体" w:hint="default"/>
        <w:color w:val="auto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8B7310"/>
    <w:multiLevelType w:val="hybridMultilevel"/>
    <w:tmpl w:val="FF9A735C"/>
    <w:lvl w:ilvl="0" w:tplc="E6E6B6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300E2"/>
    <w:rsid w:val="00033BAF"/>
    <w:rsid w:val="00056A06"/>
    <w:rsid w:val="000753E8"/>
    <w:rsid w:val="000A5E5B"/>
    <w:rsid w:val="000B7D35"/>
    <w:rsid w:val="000D477F"/>
    <w:rsid w:val="001404EA"/>
    <w:rsid w:val="001607C3"/>
    <w:rsid w:val="001634CF"/>
    <w:rsid w:val="001646DB"/>
    <w:rsid w:val="001863F4"/>
    <w:rsid w:val="001A5408"/>
    <w:rsid w:val="001B6BAC"/>
    <w:rsid w:val="001D76AD"/>
    <w:rsid w:val="0021757B"/>
    <w:rsid w:val="00230471"/>
    <w:rsid w:val="002467E8"/>
    <w:rsid w:val="002508B5"/>
    <w:rsid w:val="002B2E6B"/>
    <w:rsid w:val="002F2506"/>
    <w:rsid w:val="0031726D"/>
    <w:rsid w:val="00326457"/>
    <w:rsid w:val="00345FC5"/>
    <w:rsid w:val="0037352F"/>
    <w:rsid w:val="00396F42"/>
    <w:rsid w:val="00397990"/>
    <w:rsid w:val="003B3E36"/>
    <w:rsid w:val="003C0056"/>
    <w:rsid w:val="00401FAA"/>
    <w:rsid w:val="004077DB"/>
    <w:rsid w:val="004103E2"/>
    <w:rsid w:val="0042389D"/>
    <w:rsid w:val="00492B0F"/>
    <w:rsid w:val="004E3715"/>
    <w:rsid w:val="004E4E1F"/>
    <w:rsid w:val="00504CA6"/>
    <w:rsid w:val="00534757"/>
    <w:rsid w:val="00536133"/>
    <w:rsid w:val="00545709"/>
    <w:rsid w:val="005534F3"/>
    <w:rsid w:val="005A59D0"/>
    <w:rsid w:val="0061600B"/>
    <w:rsid w:val="00644309"/>
    <w:rsid w:val="00644DB6"/>
    <w:rsid w:val="00670E44"/>
    <w:rsid w:val="00676954"/>
    <w:rsid w:val="006C6F55"/>
    <w:rsid w:val="006D7853"/>
    <w:rsid w:val="0072586F"/>
    <w:rsid w:val="007342C3"/>
    <w:rsid w:val="00734C22"/>
    <w:rsid w:val="0075542B"/>
    <w:rsid w:val="007B59C6"/>
    <w:rsid w:val="007B615B"/>
    <w:rsid w:val="007C385E"/>
    <w:rsid w:val="007C6108"/>
    <w:rsid w:val="007D44D2"/>
    <w:rsid w:val="00804337"/>
    <w:rsid w:val="00833176"/>
    <w:rsid w:val="00865F08"/>
    <w:rsid w:val="008A5143"/>
    <w:rsid w:val="008A7C67"/>
    <w:rsid w:val="008E34F9"/>
    <w:rsid w:val="008E4884"/>
    <w:rsid w:val="008E6C5B"/>
    <w:rsid w:val="009017FF"/>
    <w:rsid w:val="00962A6E"/>
    <w:rsid w:val="009B683C"/>
    <w:rsid w:val="00A26698"/>
    <w:rsid w:val="00A352C3"/>
    <w:rsid w:val="00A50067"/>
    <w:rsid w:val="00A64604"/>
    <w:rsid w:val="00A84E66"/>
    <w:rsid w:val="00AB31ED"/>
    <w:rsid w:val="00AD75E8"/>
    <w:rsid w:val="00B05773"/>
    <w:rsid w:val="00B90EFD"/>
    <w:rsid w:val="00B91D82"/>
    <w:rsid w:val="00BC1E66"/>
    <w:rsid w:val="00BC3C97"/>
    <w:rsid w:val="00C06ADE"/>
    <w:rsid w:val="00C17FC4"/>
    <w:rsid w:val="00C21A43"/>
    <w:rsid w:val="00C65A1E"/>
    <w:rsid w:val="00C91BD1"/>
    <w:rsid w:val="00CA47E4"/>
    <w:rsid w:val="00CD04D5"/>
    <w:rsid w:val="00CD3AF3"/>
    <w:rsid w:val="00D14AFF"/>
    <w:rsid w:val="00D27B20"/>
    <w:rsid w:val="00E36DE1"/>
    <w:rsid w:val="00E6268D"/>
    <w:rsid w:val="00E96BD6"/>
    <w:rsid w:val="00EB0F10"/>
    <w:rsid w:val="00EB152F"/>
    <w:rsid w:val="00EE1049"/>
    <w:rsid w:val="00F10C71"/>
    <w:rsid w:val="00F21FDC"/>
    <w:rsid w:val="00F66F33"/>
    <w:rsid w:val="00F71888"/>
    <w:rsid w:val="00F822C9"/>
    <w:rsid w:val="00FE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6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10C71"/>
    <w:rPr>
      <w:sz w:val="18"/>
      <w:szCs w:val="18"/>
    </w:rPr>
  </w:style>
  <w:style w:type="table" w:styleId="a5">
    <w:name w:val="Table Grid"/>
    <w:basedOn w:val="a1"/>
    <w:uiPriority w:val="99"/>
    <w:rsid w:val="00F10C7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E48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146</Words>
  <Characters>834</Characters>
  <Application>Microsoft Office Word</Application>
  <DocSecurity>0</DocSecurity>
  <Lines>6</Lines>
  <Paragraphs>1</Paragraphs>
  <ScaleCrop>false</ScaleCrop>
  <Company>hit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17</cp:revision>
  <dcterms:created xsi:type="dcterms:W3CDTF">2017-09-19T09:03:00Z</dcterms:created>
  <dcterms:modified xsi:type="dcterms:W3CDTF">2018-06-22T08:28:00Z</dcterms:modified>
</cp:coreProperties>
</file>